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E7694" w14:textId="49E69EAB" w:rsidR="005F3DBD" w:rsidRDefault="00764F78" w:rsidP="005F3DBD">
      <w:pPr>
        <w:pStyle w:val="berschrift1"/>
        <w:rPr>
          <w:sz w:val="24"/>
          <w:szCs w:val="24"/>
          <w:rFonts w:ascii="Times New Roman" w:hAnsi="Times New Roman"/>
        </w:rPr>
      </w:pPr>
      <w:r>
        <w:t xml:space="preserve">3 функции на 1 м²: </w:t>
        <w:br/>
        <w:t xml:space="preserve">работа с PUR на XES 200</w:t>
      </w:r>
    </w:p>
    <w:p w14:paraId="144DC4E4" w14:textId="060C13BF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Что делают столяры, изготовители предметов внутренней отделки и поставщики комплектующих деталей с бачками клеенаносящих узлов или самими узлами на время выходных или при смене цвета?</w:t>
      </w:r>
      <w:r>
        <w:rPr>
          <w:color w:val="000000"/>
        </w:rPr>
        <w:t xml:space="preserve"> </w:t>
      </w:r>
      <w:r>
        <w:rPr>
          <w:color w:val="000000"/>
        </w:rPr>
        <w:t xml:space="preserve">Как лучше всего хранить клеенаносящий узел, если он не используется в течение нескольких дней?</w:t>
      </w:r>
      <w:r>
        <w:rPr>
          <w:color w:val="000000"/>
        </w:rPr>
        <w:br/>
      </w:r>
      <w:r>
        <w:rPr>
          <w:color w:val="000000"/>
        </w:rPr>
        <w:t xml:space="preserve">Специалисты по обработке кромок компании HOMAG предлагают остроумное решение: сервисную станцию XES 200.</w:t>
      </w:r>
    </w:p>
    <w:p w14:paraId="0806BE4E" w14:textId="156C169E" w:rsidR="005F3DBD" w:rsidRDefault="000777ED" w:rsidP="005F3DBD">
      <w:pPr>
        <w:rPr>
          <w:color w:val="000000"/>
        </w:rPr>
      </w:pPr>
      <w:r>
        <w:rPr>
          <w:color w:val="000000"/>
        </w:rPr>
        <w:t xml:space="preserve">Это многофункциональное устройство может намного больше, чем просто хранить клей.</w:t>
      </w:r>
      <w:r>
        <w:rPr>
          <w:color w:val="000000"/>
        </w:rPr>
        <w:t xml:space="preserve"> </w:t>
      </w:r>
      <w:r>
        <w:rPr>
          <w:color w:val="000000"/>
        </w:rPr>
        <w:t xml:space="preserve">Станция также выполняет функции очистки клеенаносящего узла и предварительного нагрева перед выполнением дальнейших рабочих операций.</w:t>
      </w:r>
      <w:r>
        <w:rPr>
          <w:color w:val="000000"/>
        </w:rPr>
        <w:t xml:space="preserve"> </w:t>
      </w:r>
      <w:r>
        <w:rPr>
          <w:color w:val="000000"/>
        </w:rPr>
        <w:t xml:space="preserve">Таким образом пользователю удается сократить затраты времени и оптимизировать производственные процессы.</w:t>
      </w:r>
    </w:p>
    <w:p w14:paraId="6B84B139" w14:textId="5045C213" w:rsidR="00B96801" w:rsidRDefault="00B96801" w:rsidP="00B96801">
      <w:pPr>
        <w:pStyle w:val="berschrift3"/>
      </w:pPr>
      <w:r>
        <w:t xml:space="preserve">Хранение PUR-клея: грязное дело</w:t>
      </w:r>
    </w:p>
    <w:p w14:paraId="05BF5A88" w14:textId="05F30DD3" w:rsidR="005F3DBD" w:rsidRDefault="00B96801" w:rsidP="005F3DBD">
      <w:pPr>
        <w:rPr>
          <w:color w:val="000000"/>
        </w:rPr>
      </w:pPr>
      <w:r>
        <w:rPr>
          <w:color w:val="000000"/>
        </w:rPr>
        <w:t xml:space="preserve">Все виды PUR-клея затвердевают на воздухе, что всегда создавало проблемы для тех, кто ими пользуется.</w:t>
      </w:r>
      <w:r>
        <w:rPr>
          <w:color w:val="000000"/>
        </w:rPr>
        <w:t xml:space="preserve"> </w:t>
      </w:r>
      <w:r>
        <w:rPr>
          <w:color w:val="000000"/>
        </w:rPr>
        <w:t xml:space="preserve">Требовалось предотвратить потери материала (клея) и порчу клеенаносящих узлов, в которых клей затвердел.</w:t>
      </w:r>
      <w:r>
        <w:rPr>
          <w:color w:val="000000"/>
        </w:rPr>
        <w:t xml:space="preserve"> </w:t>
      </w:r>
      <w:r>
        <w:rPr>
          <w:color w:val="000000"/>
        </w:rPr>
        <w:t xml:space="preserve">Одно из возможных решений — подача </w:t>
      </w:r>
      <w:r>
        <w:t xml:space="preserve">азота, другое — непрерывная работа вакуумного насоса.</w:t>
      </w:r>
      <w:r>
        <w:t xml:space="preserve"> </w:t>
      </w:r>
      <w:r>
        <w:t xml:space="preserve">Но именно эти решения не нравились HOMAG.</w:t>
      </w:r>
      <w:r>
        <w:t xml:space="preserve"> </w:t>
        <w:br/>
      </w:r>
      <w:r>
        <w:t xml:space="preserve">Благодаря применению «сопла Вентури» для удаления воздуха из вакуумной емкости нам удалось отказаться от использования вакуумного насоса.</w:t>
      </w:r>
      <w:r>
        <w:t xml:space="preserve"> </w:t>
      </w:r>
      <w:r>
        <w:t xml:space="preserve">При хранении во время выходных дней станцию не нужно подключать к источнику сжатого воздуха или сети электроснабжения.</w:t>
      </w:r>
      <w:r>
        <w:t xml:space="preserve"> </w:t>
        <w:br/>
      </w:r>
      <w:r>
        <w:t xml:space="preserve">Содержание в двух вакуумных емкостях (для хранения под давлением) кислорода и без того остается пониженным.</w:t>
      </w:r>
      <w:r>
        <w:t xml:space="preserve"> </w:t>
      </w:r>
      <w:r>
        <w:t xml:space="preserve">Хранение клеенаносящего узла QA 65 N или сменной емкости плавильного узла для PUR-клея больше не вызывает затруднений.</w:t>
      </w:r>
      <w:r>
        <w:t xml:space="preserve"> </w:t>
      </w:r>
      <w:r>
        <w:t xml:space="preserve">Затвердевание клея не происходит и в понедельник работу можно продолжить, не решая дополнительных проблем.</w:t>
      </w:r>
    </w:p>
    <w:p w14:paraId="1900BC9F" w14:textId="4DBA61DB" w:rsidR="005F3DBD" w:rsidRDefault="00B96801" w:rsidP="00B96801">
      <w:pPr>
        <w:pStyle w:val="berschrift3"/>
      </w:pPr>
      <w:r>
        <w:t xml:space="preserve">Предварительный нагрев: точно в срок</w:t>
      </w:r>
    </w:p>
    <w:p w14:paraId="4C50CF7E" w14:textId="77777777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Ни у кого нет лишнего времени, и потому клеенаносящие узлы и сменные емкости после перерыва в работе должны быть готовы к установке на кромкооблицовочный станок точно в срок.</w:t>
      </w:r>
      <w:r>
        <w:rPr>
          <w:color w:val="000000"/>
        </w:rPr>
        <w:t xml:space="preserve"> </w:t>
      </w:r>
      <w:r>
        <w:rPr>
          <w:color w:val="000000"/>
        </w:rPr>
        <w:t xml:space="preserve">Система XES оснащена 2 креплениями.</w:t>
      </w:r>
      <w:r>
        <w:rPr>
          <w:color w:val="000000"/>
        </w:rPr>
        <w:t xml:space="preserve"> </w:t>
      </w:r>
      <w:r>
        <w:rPr>
          <w:color w:val="000000"/>
        </w:rPr>
        <w:t xml:space="preserve">Также система оборудована приводом клеенаносящего ролика и устройством регулировки температуры.</w:t>
      </w:r>
      <w:r>
        <w:rPr>
          <w:color w:val="000000"/>
        </w:rPr>
        <w:t xml:space="preserve"> </w:t>
      </w:r>
      <w:r>
        <w:rPr>
          <w:color w:val="000000"/>
        </w:rPr>
        <w:t xml:space="preserve">Это устройство обеспечивает нагрев клеенаносящего узла до требуемой температуры после хранения еще до запуска станка.</w:t>
      </w:r>
      <w:r>
        <w:rPr>
          <w:color w:val="000000"/>
        </w:rPr>
        <w:t xml:space="preserve"> </w:t>
      </w:r>
      <w:r>
        <w:rPr>
          <w:color w:val="000000"/>
        </w:rPr>
        <w:t xml:space="preserve">Сотрудники не теряют времени на замену и производство можно быстро возобновить.</w:t>
      </w:r>
      <w:r>
        <w:rPr>
          <w:color w:val="000000"/>
        </w:rPr>
        <w:t xml:space="preserve"> </w:t>
      </w:r>
    </w:p>
    <w:p w14:paraId="5334E34C" w14:textId="7014172D" w:rsidR="005F3DBD" w:rsidRDefault="00B96801" w:rsidP="00B96801">
      <w:pPr>
        <w:pStyle w:val="berschrift3"/>
      </w:pPr>
      <w:r>
        <w:t xml:space="preserve">Смена клея?</w:t>
      </w:r>
      <w:r>
        <w:t xml:space="preserve"> </w:t>
      </w:r>
      <w:r>
        <w:t xml:space="preserve">Очистка одним нажатием кнопки</w:t>
      </w:r>
    </w:p>
    <w:p w14:paraId="2424540C" w14:textId="77777777" w:rsidR="0047204A" w:rsidRDefault="005F3DBD" w:rsidP="005F3DBD">
      <w:pPr>
        <w:rPr>
          <w:color w:val="000000"/>
        </w:rPr>
      </w:pPr>
      <w:r>
        <w:rPr>
          <w:color w:val="000000"/>
        </w:rPr>
        <w:t xml:space="preserve">Привод клеенаносящего ролика и устройство регулировки температуры может также использоваться для очистки клеенаносящего узла.</w:t>
      </w:r>
      <w:r>
        <w:rPr>
          <w:color w:val="000000"/>
        </w:rPr>
        <w:t xml:space="preserve"> </w:t>
      </w:r>
      <w:r>
        <w:rPr>
          <w:color w:val="000000"/>
        </w:rPr>
        <w:t xml:space="preserve">Ведь клеенаносящий узел необходимо очищать как при смене цвета, так и при переходе от использования PUR-клея к использованию EVA.</w:t>
      </w:r>
      <w:r>
        <w:rPr>
          <w:color w:val="000000"/>
        </w:rPr>
        <w:t xml:space="preserve"> </w:t>
        <w:br/>
      </w:r>
      <w:r>
        <w:rPr>
          <w:color w:val="000000"/>
        </w:rPr>
        <w:t xml:space="preserve">Чтобы не выполнять эту операцию на станке и продолжать на нем производство, освобождать клеенаносящий узел от содержимого можно с помощью XES 200.</w:t>
      </w:r>
      <w:r>
        <w:rPr>
          <w:color w:val="000000"/>
        </w:rPr>
        <w:t xml:space="preserve"> </w:t>
      </w:r>
      <w:r>
        <w:rPr>
          <w:color w:val="000000"/>
        </w:rPr>
        <w:t xml:space="preserve">Чтобы запустить автоматический процесс, достаточно нажать кнопку.</w:t>
      </w:r>
    </w:p>
    <w:p w14:paraId="2F00C23D" w14:textId="6244A72C" w:rsidR="005F3DBD" w:rsidRDefault="0047204A" w:rsidP="0047204A">
      <w:pPr>
        <w:pStyle w:val="berschrift3"/>
      </w:pPr>
      <w:r>
        <w:t xml:space="preserve">Простота в эксплуатации и компактность — достаточно 1 м²</w:t>
      </w:r>
    </w:p>
    <w:p w14:paraId="4B2859A7" w14:textId="239AC281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Наряду с разнообразием возможностей использования станция XES 200 привлекает внимание простотой в эксплуатации.</w:t>
      </w:r>
      <w:r>
        <w:rPr>
          <w:color w:val="000000"/>
        </w:rPr>
        <w:t xml:space="preserve"> </w:t>
      </w:r>
      <w:r>
        <w:rPr>
          <w:color w:val="000000"/>
        </w:rPr>
        <w:t xml:space="preserve">Ее необходимо снабжать сжатым воздухом и электроэнергией.</w:t>
      </w:r>
      <w:r>
        <w:rPr>
          <w:color w:val="000000"/>
        </w:rPr>
        <w:t xml:space="preserve"> </w:t>
      </w:r>
      <w:r>
        <w:rPr>
          <w:color w:val="000000"/>
        </w:rPr>
        <w:t xml:space="preserve">Передвигающаяся на роликах станция легко подключается к желаемым станкам.</w:t>
      </w:r>
      <w:r>
        <w:rPr>
          <w:color w:val="000000"/>
        </w:rPr>
        <w:t xml:space="preserve"> </w:t>
      </w:r>
      <w:r>
        <w:rPr>
          <w:color w:val="000000"/>
        </w:rPr>
        <w:t xml:space="preserve">Благодаря небольшой занимаемой площади — меньше 1 м² — станцию можно разместить в любом цехе непосредственно на станке.</w:t>
      </w:r>
      <w:r>
        <w:rPr>
          <w:color w:val="000000"/>
        </w:rPr>
        <w:br/>
      </w:r>
      <w:r>
        <w:rPr>
          <w:color w:val="000000"/>
        </w:rPr>
        <w:t xml:space="preserve">При установке как на новом оборудовании, так и на уже эксплуатируемом станке, станция XES 200 упростит работу с PUR-клеем.</w:t>
      </w:r>
      <w:r>
        <w:rPr>
          <w:color w:val="000000"/>
        </w:rPr>
        <w:t xml:space="preserve"> </w:t>
      </w:r>
    </w:p>
    <w:p w14:paraId="5B3545DB" w14:textId="268B0D20" w:rsidR="0047204A" w:rsidRDefault="005F3DBD" w:rsidP="00472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color w:val="000000"/>
          <w:rFonts w:ascii="NimbusSanL" w:hAnsi="NimbusSanL" w:cs="NimbusSanL"/>
        </w:rPr>
        <w:drawing>
          <wp:inline distT="0" distB="0" distL="0" distR="0" wp14:anchorId="07F1368A" wp14:editId="4BC5FD10">
            <wp:extent cx="2943628" cy="2737262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station_P1050664_frei-weiss-RGB-72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92" cy="273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CB4F" w14:textId="77777777" w:rsidR="005F3DBD" w:rsidRPr="00753E13" w:rsidRDefault="005F3DBD" w:rsidP="0047204A">
      <w:pPr>
        <w:pStyle w:val="Titel"/>
      </w:pPr>
      <w:r>
        <w:t xml:space="preserve">Рис.: </w:t>
      </w:r>
      <w:r>
        <w:rPr>
          <w:b w:val="0"/>
        </w:rPr>
        <w:t xml:space="preserve">Сервисная станция XES 200</w:t>
      </w:r>
    </w:p>
    <w:p w14:paraId="30156CFE" w14:textId="0C5D3A37" w:rsidR="0047204A" w:rsidRDefault="0047204A">
      <w:pPr>
        <w:widowControl/>
        <w:spacing w:after="0" w:line="240" w:lineRule="auto"/>
        <w:rPr>
          <w:rFonts w:ascii="NimbusSanL" w:hAnsi="NimbusSanL" w:cs="NimbusSanL"/>
          <w:color w:val="000000"/>
        </w:rPr>
      </w:pPr>
    </w:p>
    <w:p w14:paraId="2A5C347A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0DCC49D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Иллюстрации</w:t>
      </w:r>
    </w:p>
    <w:p w14:paraId="7138A6B9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Источник изображений: HOMAG Kantentechnik GmbH</w:t>
      </w:r>
      <w:r>
        <w:rPr>
          <w:color w:val="000000"/>
          <w:rFonts w:ascii="NimbusSanL" w:hAnsi="NimbusSanL" w:cs="NimbusSanL"/>
        </w:rPr>
        <w:t xml:space="preserve"> </w:t>
      </w:r>
    </w:p>
    <w:p w14:paraId="2560F23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13389D6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BD441" w14:textId="77777777" w:rsidR="005F3DBD" w:rsidRDefault="005F3DBD" w:rsidP="005F3DB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</w:rPr>
      </w:pPr>
    </w:p>
    <w:p w14:paraId="410ABF4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rFonts w:ascii="NimbusSanL" w:hAnsi="NimbusSanL" w:cs="NimbusSanL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5458851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5D68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0C350FA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При возникновении вопросов просим обращаться по адресу:</w:t>
      </w:r>
    </w:p>
    <w:p w14:paraId="6AA756F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30C0D40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7093834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rFonts w:ascii="NimbusSanL" w:hAnsi="NimbusSanL" w:cs="NimbusSanL"/>
        </w:rPr>
        <w:t xml:space="preserve">HOMAG Kantentechnik GmbH</w:t>
      </w:r>
      <w:r>
        <w:rPr>
          <w:b/>
          <w:bCs/>
          <w:color w:val="000000"/>
          <w:rFonts w:ascii="NimbusSanL" w:hAnsi="NimbusSanL" w:cs="NimbusSanL"/>
        </w:rPr>
        <w:t xml:space="preserve"> </w:t>
      </w:r>
    </w:p>
    <w:p w14:paraId="66215B51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Weststraße 2</w:t>
      </w:r>
    </w:p>
    <w:p w14:paraId="28B928BD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32657 Lemgo</w:t>
      </w:r>
    </w:p>
    <w:p w14:paraId="625CAD3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Германия</w:t>
      </w:r>
    </w:p>
    <w:p w14:paraId="186E90B8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www.homag.com</w:t>
      </w:r>
    </w:p>
    <w:p w14:paraId="64B2A5FA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34965E6F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07B19069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Ульф Хорстман</w:t>
      </w:r>
    </w:p>
    <w:p w14:paraId="41FDB595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1"/>
        </w:rPr>
        <w:t xml:space="preserve">Product Marketing</w:t>
      </w:r>
    </w:p>
    <w:p w14:paraId="3D2BD9C4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Тел.: +49 5261 974 57208</w:t>
      </w:r>
    </w:p>
    <w:p w14:paraId="564DF65D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ulf.horstmann@homag.com</w:t>
      </w:r>
    </w:p>
    <w:sectPr w:rsidR="005F3DBD" w:rsidRPr="008670A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71EF" w14:textId="77777777" w:rsidR="00BD3D69" w:rsidRDefault="00BD3D69">
      <w:r>
        <w:separator/>
      </w:r>
    </w:p>
  </w:endnote>
  <w:endnote w:type="continuationSeparator" w:id="0">
    <w:p w14:paraId="04FA0176" w14:textId="77777777" w:rsidR="00BD3D69" w:rsidRDefault="00B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14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92AE" w14:textId="77777777" w:rsidR="00BD3D69" w:rsidRDefault="00BD3D69">
      <w:r>
        <w:separator/>
      </w:r>
    </w:p>
  </w:footnote>
  <w:footnote w:type="continuationSeparator" w:id="0">
    <w:p w14:paraId="515C4126" w14:textId="77777777" w:rsidR="00BD3D69" w:rsidRDefault="00BD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0D" w14:textId="5384E74F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Пресс-релиз HOMAG Treff 2018</w:t>
    </w:r>
    <w:r>
      <w:rPr>
        <w:b/>
        <w:sz w:val="28"/>
      </w:rPr>
      <w:tab/>
    </w:r>
    <w:r>
      <w:drawing>
        <wp:inline distT="0" distB="0" distL="0" distR="0" wp14:anchorId="3E368415" wp14:editId="3E368416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3E368412" w14:textId="77777777" w:rsidTr="00C74CDC">
      <w:tc>
        <w:tcPr>
          <w:tcW w:w="3402" w:type="dxa"/>
        </w:tcPr>
        <w:p w14:paraId="497EC782" w14:textId="77777777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3E36840F" w14:textId="77777777" w:rsidR="00CA4276" w:rsidRDefault="00CA4276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3E368410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Страница: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3E368411" w14:textId="4FDF6DA9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Август 2018</w:t>
          </w:r>
        </w:p>
      </w:tc>
    </w:tr>
  </w:tbl>
  <w:p w14:paraId="3E368413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8054F75"/>
    <w:multiLevelType w:val="hybridMultilevel"/>
    <w:tmpl w:val="A4D86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0D70FE"/>
    <w:multiLevelType w:val="hybridMultilevel"/>
    <w:tmpl w:val="FC88B2F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9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8"/>
  </w:num>
  <w:num w:numId="5">
    <w:abstractNumId w:val="26"/>
  </w:num>
  <w:num w:numId="6">
    <w:abstractNumId w:val="15"/>
  </w:num>
  <w:num w:numId="7">
    <w:abstractNumId w:val="16"/>
  </w:num>
  <w:num w:numId="8">
    <w:abstractNumId w:val="20"/>
  </w:num>
  <w:num w:numId="9">
    <w:abstractNumId w:val="22"/>
  </w:num>
  <w:num w:numId="10">
    <w:abstractNumId w:val="27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8"/>
  </w:num>
  <w:num w:numId="18">
    <w:abstractNumId w:val="14"/>
  </w:num>
  <w:num w:numId="19">
    <w:abstractNumId w:val="29"/>
  </w:num>
  <w:num w:numId="20">
    <w:abstractNumId w:val="24"/>
  </w:num>
  <w:num w:numId="21">
    <w:abstractNumId w:val="32"/>
  </w:num>
  <w:num w:numId="22">
    <w:abstractNumId w:val="3"/>
  </w:num>
  <w:num w:numId="23">
    <w:abstractNumId w:val="9"/>
  </w:num>
  <w:num w:numId="24">
    <w:abstractNumId w:val="11"/>
  </w:num>
  <w:num w:numId="25">
    <w:abstractNumId w:val="33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5"/>
  </w:num>
  <w:num w:numId="32">
    <w:abstractNumId w:val="30"/>
  </w:num>
  <w:num w:numId="33">
    <w:abstractNumId w:val="31"/>
  </w:num>
  <w:num w:numId="34">
    <w:abstractNumId w:val="10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77ED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691D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512"/>
    <w:rsid w:val="001F6AB9"/>
    <w:rsid w:val="00213A46"/>
    <w:rsid w:val="0022697A"/>
    <w:rsid w:val="002560A1"/>
    <w:rsid w:val="00257269"/>
    <w:rsid w:val="00262EF5"/>
    <w:rsid w:val="00271035"/>
    <w:rsid w:val="00272217"/>
    <w:rsid w:val="00274D1F"/>
    <w:rsid w:val="00276C42"/>
    <w:rsid w:val="002A19F6"/>
    <w:rsid w:val="002A557A"/>
    <w:rsid w:val="003014A3"/>
    <w:rsid w:val="00301904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7204A"/>
    <w:rsid w:val="00476502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3F52"/>
    <w:rsid w:val="005A5380"/>
    <w:rsid w:val="005B6CF2"/>
    <w:rsid w:val="005C623C"/>
    <w:rsid w:val="005D2F26"/>
    <w:rsid w:val="005D59E6"/>
    <w:rsid w:val="005F022F"/>
    <w:rsid w:val="005F3DBD"/>
    <w:rsid w:val="005F3F60"/>
    <w:rsid w:val="006143F9"/>
    <w:rsid w:val="00623204"/>
    <w:rsid w:val="0066716B"/>
    <w:rsid w:val="00680042"/>
    <w:rsid w:val="00697D14"/>
    <w:rsid w:val="006C15C6"/>
    <w:rsid w:val="006C2BA0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64F78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62FA4"/>
    <w:rsid w:val="00891766"/>
    <w:rsid w:val="008B07C0"/>
    <w:rsid w:val="008C0447"/>
    <w:rsid w:val="008E7DE4"/>
    <w:rsid w:val="009051A1"/>
    <w:rsid w:val="009178FE"/>
    <w:rsid w:val="00920D02"/>
    <w:rsid w:val="0093011B"/>
    <w:rsid w:val="009368F5"/>
    <w:rsid w:val="00944CAE"/>
    <w:rsid w:val="009479AC"/>
    <w:rsid w:val="00957FB2"/>
    <w:rsid w:val="0097733B"/>
    <w:rsid w:val="009A1B07"/>
    <w:rsid w:val="009A4FA6"/>
    <w:rsid w:val="009C58AA"/>
    <w:rsid w:val="009C73C6"/>
    <w:rsid w:val="009E15B5"/>
    <w:rsid w:val="009E1B64"/>
    <w:rsid w:val="009F1FE2"/>
    <w:rsid w:val="009F50FD"/>
    <w:rsid w:val="00A04D46"/>
    <w:rsid w:val="00A071AD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96801"/>
    <w:rsid w:val="00BA3C3F"/>
    <w:rsid w:val="00BC229D"/>
    <w:rsid w:val="00BD3D69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A4276"/>
    <w:rsid w:val="00CB1588"/>
    <w:rsid w:val="00CD1E96"/>
    <w:rsid w:val="00CF622D"/>
    <w:rsid w:val="00D0150A"/>
    <w:rsid w:val="00D043C0"/>
    <w:rsid w:val="00D05F12"/>
    <w:rsid w:val="00D071E6"/>
    <w:rsid w:val="00D113BA"/>
    <w:rsid w:val="00D25B51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6745"/>
    <w:rsid w:val="00DA7ADD"/>
    <w:rsid w:val="00DD063D"/>
    <w:rsid w:val="00DE114A"/>
    <w:rsid w:val="00DF2A9D"/>
    <w:rsid w:val="00E06B30"/>
    <w:rsid w:val="00E12832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10E6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368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Ulf Horstmann</cp:lastModifiedBy>
  <cp:revision>4</cp:revision>
  <cp:lastPrinted>2018-04-19T05:24:00Z</cp:lastPrinted>
  <dcterms:created xsi:type="dcterms:W3CDTF">2018-08-13T13:07:00Z</dcterms:created>
  <dcterms:modified xsi:type="dcterms:W3CDTF">2018-08-15T12:23:00Z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