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E7694" w14:textId="49E69EAB" w:rsidR="005F3DBD" w:rsidRDefault="00764F78" w:rsidP="005F3DBD">
      <w:pPr>
        <w:pStyle w:val="berschrift1"/>
        <w:rPr>
          <w:sz w:val="24"/>
          <w:szCs w:val="24"/>
          <w:rFonts w:ascii="Times New Roman" w:hAnsi="Times New Roman" w:hint="eastAsia" w:eastAsia="Arial"/>
        </w:rPr>
      </w:pPr>
      <w:r>
        <w:rPr>
          <w:rFonts w:hint="eastAsia"/>
        </w:rPr>
        <w:t xml:space="preserve">1 m² に 3 つの機能: </w:t>
        <w:br/>
        <w:t xml:space="preserve">XES 200 での PUR の取り扱い</w:t>
      </w:r>
    </w:p>
    <w:p w14:paraId="144DC4E4" w14:textId="060C13BF" w:rsidR="005F3DBD" w:rsidRDefault="005F3DBD" w:rsidP="005F3DBD">
      <w:pPr>
        <w:rPr>
          <w:color w:val="000000"/>
          <w:rFonts w:hint="eastAsia"/>
        </w:rPr>
      </w:pPr>
      <w:r>
        <w:rPr>
          <w:color w:val="000000"/>
          <w:rFonts w:hint="eastAsia"/>
        </w:rPr>
        <w:t xml:space="preserve">週末をまたいだ作業や色の交換の時に、家具職人、内装職人、サプライヤーはグルーポットや塗布ユニットをどうしているのでしょうか。</w:t>
      </w:r>
      <w:r>
        <w:rPr>
          <w:color w:val="000000"/>
          <w:rFonts w:hint="eastAsia"/>
        </w:rPr>
        <w:t xml:space="preserve">どうしたら塗布ユニットを何日間も最上の状態に保管できるのでしょうか。</w:t>
      </w:r>
      <w:r>
        <w:rPr>
          <w:color w:val="000000"/>
          <w:rFonts w:hint="eastAsia"/>
        </w:rPr>
        <w:br/>
      </w:r>
      <w:r>
        <w:rPr>
          <w:color w:val="000000"/>
          <w:rFonts w:hint="eastAsia"/>
        </w:rPr>
        <w:t xml:space="preserve">HOMAG のエッジ技術の専門家はすばらしいアイディアを持っていました。サービスステーション XES 200 です。</w:t>
      </w:r>
    </w:p>
    <w:p w14:paraId="0806BE4E" w14:textId="156C169E" w:rsidR="005F3DBD" w:rsidRDefault="000777ED" w:rsidP="005F3DBD">
      <w:pPr>
        <w:rPr>
          <w:color w:val="000000"/>
          <w:rFonts w:hint="eastAsia"/>
        </w:rPr>
      </w:pPr>
      <w:r>
        <w:rPr>
          <w:color w:val="000000"/>
          <w:rFonts w:hint="eastAsia"/>
        </w:rPr>
        <w:t xml:space="preserve">この多機能の装置の能力は、本来の目的である保管をはるかに越えています。</w:t>
      </w:r>
      <w:r>
        <w:rPr>
          <w:color w:val="000000"/>
          <w:rFonts w:hint="eastAsia"/>
        </w:rPr>
        <w:t xml:space="preserve">しかもユーザーはこのステーションで塗布ユニットのクリーニングと今後の作業手順のための余熱も解決できるのです。</w:t>
      </w:r>
      <w:r>
        <w:rPr>
          <w:color w:val="000000"/>
          <w:rFonts w:hint="eastAsia"/>
        </w:rPr>
        <w:t xml:space="preserve">それによってユーザーは貴重な時間を節約し、作業手順を最適化できます。</w:t>
      </w:r>
    </w:p>
    <w:p w14:paraId="6B84B139" w14:textId="5045C213" w:rsidR="00B96801" w:rsidRDefault="00B96801" w:rsidP="00B96801">
      <w:pPr>
        <w:pStyle w:val="berschrift3"/>
        <w:rPr>
          <w:rFonts w:hint="eastAsia"/>
        </w:rPr>
      </w:pPr>
      <w:r>
        <w:rPr>
          <w:rFonts w:hint="eastAsia"/>
        </w:rPr>
        <w:t xml:space="preserve">PUR グルーの保管: やっかいな問題</w:t>
      </w:r>
    </w:p>
    <w:p w14:paraId="05BF5A88" w14:textId="05F30DD3" w:rsidR="005F3DBD" w:rsidRDefault="00B96801" w:rsidP="005F3DBD">
      <w:pPr>
        <w:rPr>
          <w:color w:val="000000"/>
          <w:rFonts w:hint="eastAsia"/>
        </w:rPr>
      </w:pPr>
      <w:r>
        <w:rPr>
          <w:color w:val="000000"/>
          <w:rFonts w:hint="eastAsia"/>
        </w:rPr>
        <w:t xml:space="preserve">PUR グルーが空気に触れて固まることはかねてから問題となっていました。</w:t>
      </w:r>
      <w:r>
        <w:rPr>
          <w:color w:val="000000"/>
          <w:rFonts w:hint="eastAsia"/>
        </w:rPr>
        <w:t xml:space="preserve">硬化したために材料 (グルー) を無駄にして塗布ユニットが使用できなくなる状態を回避するために、これは避けるべき事態でした。</w:t>
      </w:r>
      <w:r>
        <w:rPr>
          <w:color w:val="000000"/>
          <w:rFonts w:hint="eastAsia"/>
        </w:rPr>
        <w:t xml:space="preserve">窒素の供給はひとつの方法です。</w:t>
      </w:r>
      <w:r>
        <w:rPr>
          <w:rFonts w:hint="eastAsia"/>
        </w:rPr>
        <w:t xml:space="preserve">バキュームポンプを使用し続けるのももう一つの方法です。</w:t>
      </w:r>
      <w:r>
        <w:rPr>
          <w:rFonts w:hint="eastAsia"/>
        </w:rPr>
        <w:t xml:space="preserve">ただし HOMAG はこのような方法をめざしていませんでした。</w:t>
      </w:r>
      <w:r>
        <w:rPr>
          <w:rFonts w:hint="eastAsia"/>
        </w:rPr>
        <w:t xml:space="preserve"> </w:t>
        <w:br/>
      </w:r>
      <w:r>
        <w:rPr>
          <w:rFonts w:hint="eastAsia"/>
        </w:rPr>
        <w:t xml:space="preserve">バキュームタンクから一度で空気を吸引する「ベンチュリノズル」を使用すると、バキュームポンプがなくても真空状態をつくることができます。</w:t>
      </w:r>
      <w:r>
        <w:rPr>
          <w:rFonts w:hint="eastAsia"/>
        </w:rPr>
        <w:t xml:space="preserve">週末をまたいで保管するために、ステーションを圧縮エアまたは電源に接続する必要はありません。</w:t>
      </w:r>
      <w:r>
        <w:rPr>
          <w:rFonts w:hint="eastAsia"/>
        </w:rPr>
        <w:t xml:space="preserve"> </w:t>
        <w:br/>
      </w:r>
      <w:r>
        <w:rPr>
          <w:rFonts w:hint="eastAsia"/>
        </w:rPr>
        <w:t xml:space="preserve">この方法では 2 つのバキュームタンク (圧力タンク) の内部機構から酸素量が減少します。</w:t>
      </w:r>
      <w:r>
        <w:rPr>
          <w:rFonts w:hint="eastAsia"/>
        </w:rPr>
        <w:t xml:space="preserve">塗布ユニットQA 65 N または PUR ホットメルトの交換容器を問題なく保管できます。</w:t>
      </w:r>
      <w:r>
        <w:rPr>
          <w:rFonts w:hint="eastAsia"/>
        </w:rPr>
        <w:t xml:space="preserve">硬化を回避して、月曜日には問題なく作業を続行できます。</w:t>
      </w:r>
    </w:p>
    <w:p w14:paraId="1900BC9F" w14:textId="4DBA61DB" w:rsidR="005F3DBD" w:rsidRDefault="00B96801" w:rsidP="00B96801">
      <w:pPr>
        <w:pStyle w:val="berschrift3"/>
        <w:rPr>
          <w:rFonts w:hint="eastAsia"/>
        </w:rPr>
      </w:pPr>
      <w:r>
        <w:rPr>
          <w:rFonts w:hint="eastAsia"/>
        </w:rPr>
        <w:t xml:space="preserve">予熱: 正確な時間に</w:t>
      </w:r>
    </w:p>
    <w:p w14:paraId="4C50CF7E" w14:textId="77777777" w:rsidR="005F3DBD" w:rsidRDefault="005F3DBD" w:rsidP="005F3DBD">
      <w:pPr>
        <w:rPr>
          <w:color w:val="000000"/>
          <w:rFonts w:hint="eastAsia"/>
        </w:rPr>
      </w:pPr>
      <w:r>
        <w:rPr>
          <w:color w:val="000000"/>
          <w:rFonts w:hint="eastAsia"/>
        </w:rPr>
        <w:t xml:space="preserve">誰にとっても時間は貴重であり、だからこそ塗布ユニットと交換容器を保管した後に、縁貼機での使用に備えて正確な時間に予熱することは重要です。</w:t>
      </w:r>
      <w:r>
        <w:rPr>
          <w:color w:val="000000"/>
          <w:rFonts w:hint="eastAsia"/>
        </w:rPr>
        <w:t xml:space="preserve">XES には 2 つの 保管装置があります。</w:t>
      </w:r>
      <w:r>
        <w:rPr>
          <w:color w:val="000000"/>
          <w:rFonts w:hint="eastAsia"/>
        </w:rPr>
        <w:t xml:space="preserve">ひとつにはグルーローラ駆動装置と温度調整器が付いています。</w:t>
      </w:r>
      <w:r>
        <w:rPr>
          <w:color w:val="000000"/>
          <w:rFonts w:hint="eastAsia"/>
        </w:rPr>
        <w:t xml:space="preserve">これによって、塗布ユニットを保管と機械での使用開始の間に希望する温度に予熱することができます。</w:t>
      </w:r>
      <w:r>
        <w:rPr>
          <w:color w:val="000000"/>
          <w:rFonts w:hint="eastAsia"/>
        </w:rPr>
        <w:t xml:space="preserve">交換時に時間を無駄にすることはありません。長時間中断することなく、製造を続行できます。</w:t>
      </w:r>
      <w:r>
        <w:rPr>
          <w:color w:val="000000"/>
          <w:rFonts w:hint="eastAsia"/>
        </w:rPr>
        <w:t xml:space="preserve"> </w:t>
      </w:r>
    </w:p>
    <w:p w14:paraId="5334E34C" w14:textId="7014172D" w:rsidR="005F3DBD" w:rsidRDefault="00B96801" w:rsidP="00B96801">
      <w:pPr>
        <w:pStyle w:val="berschrift3"/>
        <w:rPr>
          <w:rFonts w:hint="eastAsia"/>
        </w:rPr>
      </w:pPr>
      <w:r>
        <w:rPr>
          <w:rFonts w:hint="eastAsia"/>
        </w:rPr>
        <w:t xml:space="preserve">グルーの交換</w:t>
      </w:r>
      <w:r>
        <w:rPr>
          <w:rFonts w:hint="eastAsia"/>
        </w:rPr>
        <w:t xml:space="preserve">ボタンを押すだけでクリーニング</w:t>
      </w:r>
    </w:p>
    <w:p w14:paraId="2424540C" w14:textId="77777777" w:rsidR="0047204A" w:rsidRDefault="005F3DBD" w:rsidP="005F3DBD">
      <w:pPr>
        <w:rPr>
          <w:color w:val="000000"/>
          <w:rFonts w:hint="eastAsia"/>
        </w:rPr>
      </w:pPr>
      <w:r>
        <w:rPr>
          <w:color w:val="000000"/>
          <w:rFonts w:hint="eastAsia"/>
        </w:rPr>
        <w:t xml:space="preserve">塗布ユニットのグルーローラ駆動装置と温度調整器はどちらもクリーニングに使用できます。</w:t>
      </w:r>
      <w:r>
        <w:rPr>
          <w:color w:val="000000"/>
          <w:rFonts w:hint="eastAsia"/>
        </w:rPr>
        <w:t xml:space="preserve">色の交換の際にも、PUR グルーから EVA グルーへの交換の際にも、塗布ユニットはクリーニングする必要があります。</w:t>
      </w:r>
      <w:r>
        <w:rPr>
          <w:color w:val="000000"/>
          <w:rFonts w:hint="eastAsia"/>
        </w:rPr>
        <w:t xml:space="preserve"> </w:t>
        <w:br/>
      </w:r>
      <w:r>
        <w:rPr>
          <w:color w:val="000000"/>
          <w:rFonts w:hint="eastAsia"/>
        </w:rPr>
        <w:t xml:space="preserve">機械でのこのプロセスを簡略化して製造を続行可能にするために、XES 200 を使用して塗布ユニットを空にすることができます。</w:t>
      </w:r>
      <w:r>
        <w:rPr>
          <w:color w:val="000000"/>
          <w:rFonts w:hint="eastAsia"/>
        </w:rPr>
        <w:t xml:space="preserve">その際、ボタンを押すだけで自動的に空にするプロセスが開始します。</w:t>
      </w:r>
    </w:p>
    <w:p w14:paraId="2F00C23D" w14:textId="6244A72C" w:rsidR="005F3DBD" w:rsidRDefault="0047204A" w:rsidP="0047204A">
      <w:pPr>
        <w:pStyle w:val="berschrift3"/>
        <w:rPr>
          <w:rFonts w:hint="eastAsia"/>
        </w:rPr>
      </w:pPr>
      <w:r>
        <w:rPr>
          <w:rFonts w:hint="eastAsia"/>
        </w:rPr>
        <w:t xml:space="preserve">1 m² での簡単な操作</w:t>
      </w:r>
    </w:p>
    <w:p w14:paraId="4B2859A7" w14:textId="239AC281" w:rsidR="005F3DBD" w:rsidRDefault="005F3DBD" w:rsidP="005F3DBD">
      <w:pPr>
        <w:rPr>
          <w:color w:val="000000"/>
          <w:rFonts w:hint="eastAsia"/>
        </w:rPr>
      </w:pPr>
      <w:r>
        <w:rPr>
          <w:color w:val="000000"/>
          <w:rFonts w:hint="eastAsia"/>
        </w:rPr>
        <w:t xml:space="preserve">XES 200 はさまざまな用途に適用できるだけでなく、取り扱いも簡単です。</w:t>
      </w:r>
      <w:r>
        <w:rPr>
          <w:color w:val="000000"/>
          <w:rFonts w:hint="eastAsia"/>
        </w:rPr>
        <w:t xml:space="preserve">必要なものは圧縮エアと電源だけです。</w:t>
      </w:r>
      <w:r>
        <w:rPr>
          <w:color w:val="000000"/>
          <w:rFonts w:hint="eastAsia"/>
        </w:rPr>
        <w:t xml:space="preserve">ステーションはローラで移動可能なため、必要な機械に接続して幅広くフレキシブルに使用できます。</w:t>
      </w:r>
      <w:r>
        <w:rPr>
          <w:color w:val="000000"/>
          <w:rFonts w:hint="eastAsia"/>
        </w:rPr>
        <w:t xml:space="preserve">1 m² 未満と場所を取らないおかげで、どこにでも設置して、機械に直接問題なく取り付けることができます。</w:t>
      </w:r>
      <w:r>
        <w:rPr>
          <w:color w:val="000000"/>
          <w:rFonts w:hint="eastAsia"/>
        </w:rPr>
        <w:br/>
      </w:r>
      <w:r>
        <w:rPr>
          <w:color w:val="000000"/>
          <w:rFonts w:hint="eastAsia"/>
        </w:rPr>
        <w:t xml:space="preserve">新しい機械でも既存の機械でも、XES 200 により PUR の取り扱いが容易になります。</w:t>
      </w:r>
      <w:r>
        <w:rPr>
          <w:color w:val="000000"/>
          <w:rFonts w:hint="eastAsia"/>
        </w:rPr>
        <w:t xml:space="preserve"> </w:t>
      </w:r>
    </w:p>
    <w:p w14:paraId="5B3545DB" w14:textId="268B0D20" w:rsidR="0047204A" w:rsidRDefault="005F3DBD" w:rsidP="0047204A">
      <w:pPr>
        <w:autoSpaceDE w:val="0"/>
        <w:autoSpaceDN w:val="0"/>
        <w:adjustRightInd w:val="0"/>
        <w:spacing w:after="0" w:line="240" w:lineRule="auto"/>
        <w:rPr>
          <w:b/>
          <w:rFonts w:hint="eastAsia"/>
        </w:rPr>
      </w:pPr>
      <w:r>
        <w:rPr>
          <w:color w:val="000000"/>
          <w:rFonts w:ascii="NimbusSanL" w:hAnsi="NimbusSanL" w:cs="NimbusSanL" w:hint="eastAsia"/>
        </w:rPr>
        <w:drawing>
          <wp:inline distT="0" distB="0" distL="0" distR="0" wp14:anchorId="07F1368A" wp14:editId="4BC5FD10">
            <wp:extent cx="2943628" cy="273726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station_P1050664_frei-weiss-RGB-72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4792" cy="2738344"/>
                    </a:xfrm>
                    <a:prstGeom prst="rect">
                      <a:avLst/>
                    </a:prstGeom>
                  </pic:spPr>
                </pic:pic>
              </a:graphicData>
            </a:graphic>
          </wp:inline>
        </w:drawing>
      </w:r>
    </w:p>
    <w:p w14:paraId="25C5CB4F" w14:textId="77777777" w:rsidR="005F3DBD" w:rsidRPr="00753E13" w:rsidRDefault="005F3DBD" w:rsidP="0047204A">
      <w:pPr>
        <w:pStyle w:val="Titel"/>
        <w:rPr>
          <w:rFonts w:hint="eastAsia"/>
        </w:rPr>
      </w:pPr>
      <w:r>
        <w:rPr>
          <w:rFonts w:hint="eastAsia"/>
        </w:rPr>
        <w:t xml:space="preserve">図: </w:t>
      </w:r>
      <w:r>
        <w:rPr>
          <w:b w:val="0"/>
          <w:rFonts w:hint="eastAsia"/>
        </w:rPr>
        <w:t xml:space="preserve">サービスステーション XES 200</w:t>
      </w:r>
    </w:p>
    <w:p w14:paraId="30156CFE" w14:textId="0C5D3A37" w:rsidR="0047204A" w:rsidRDefault="0047204A">
      <w:pPr>
        <w:widowControl/>
        <w:spacing w:after="0" w:line="240" w:lineRule="auto"/>
        <w:rPr>
          <w:rFonts w:ascii="NimbusSanL" w:hAnsi="NimbusSanL" w:cs="NimbusSanL"/>
          <w:color w:val="000000"/>
        </w:rPr>
      </w:pPr>
    </w:p>
    <w:p w14:paraId="2A5C347A"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0DCC49D2" w14:textId="77777777" w:rsidR="005F3DBD"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図</w:t>
      </w:r>
    </w:p>
    <w:p w14:paraId="7138A6B9"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color w:val="000000"/>
          <w:rFonts w:ascii="NimbusSanL" w:hAnsi="NimbusSanL" w:cs="NimbusSanL" w:hint="eastAsia"/>
        </w:rPr>
        <w:t xml:space="preserve">画像素材の出典: HOMAG Kantentechnik GmbH</w:t>
      </w:r>
      <w:r>
        <w:rPr>
          <w:color w:val="000000"/>
          <w:rFonts w:ascii="NimbusSanL" w:hAnsi="NimbusSanL" w:cs="NimbusSanL" w:hint="eastAsia"/>
        </w:rPr>
        <w:t xml:space="preserve"> </w:t>
      </w:r>
    </w:p>
    <w:p w14:paraId="2560F235"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 </w:t>
      </w:r>
    </w:p>
    <w:p w14:paraId="13389D6B"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7DFBD441" w14:textId="77777777" w:rsidR="005F3DBD" w:rsidRDefault="005F3DBD" w:rsidP="005F3DBD">
      <w:pPr>
        <w:pBdr>
          <w:bottom w:val="single" w:sz="6" w:space="1" w:color="auto"/>
        </w:pBdr>
        <w:autoSpaceDE w:val="0"/>
        <w:autoSpaceDN w:val="0"/>
        <w:adjustRightInd w:val="0"/>
        <w:spacing w:after="0" w:line="240" w:lineRule="auto"/>
        <w:rPr>
          <w:rFonts w:ascii="NimbusSanL" w:hAnsi="NimbusSanL" w:cs="NimbusSanL"/>
          <w:b/>
          <w:bCs/>
          <w:color w:val="000000"/>
          <w:sz w:val="20"/>
        </w:rPr>
      </w:pPr>
    </w:p>
    <w:p w14:paraId="410ABF45" w14:textId="77777777" w:rsidR="005F3DBD" w:rsidRDefault="005F3DBD" w:rsidP="005F3DBD">
      <w:pPr>
        <w:autoSpaceDE w:val="0"/>
        <w:autoSpaceDN w:val="0"/>
        <w:adjustRightInd w:val="0"/>
        <w:spacing w:after="0" w:line="240" w:lineRule="auto"/>
        <w:rPr>
          <w:b/>
          <w:bCs/>
          <w:color w:val="000000"/>
          <w:sz w:val="20"/>
          <w:rFonts w:ascii="NimbusSanL" w:hAnsi="NimbusSanL" w:cs="NimbusSanL" w:hint="eastAsia"/>
        </w:rPr>
      </w:pPr>
      <w:r>
        <w:rPr>
          <w:b/>
          <w:bCs/>
          <w:color w:val="000000"/>
          <w:sz w:val="20"/>
          <w:rFonts w:ascii="NimbusSanL" w:hAnsi="NimbusSanL" w:cs="NimbusSanL" w:hint="eastAsia"/>
        </w:rPr>
        <w:t xml:space="preserve"> </w:t>
      </w:r>
    </w:p>
    <w:p w14:paraId="54588512"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62F5D68F"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b/>
          <w:bCs/>
          <w:color w:val="000000"/>
          <w:sz w:val="20"/>
          <w:rFonts w:ascii="NimbusSanL" w:hAnsi="NimbusSanL" w:cs="NimbusSanL" w:hint="eastAsia"/>
        </w:rPr>
        <w:t xml:space="preserve"> </w:t>
      </w:r>
    </w:p>
    <w:p w14:paraId="0C350FAF" w14:textId="77777777" w:rsidR="005F3DBD"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お問い合わせ先:</w:t>
      </w:r>
    </w:p>
    <w:p w14:paraId="6AA756FB"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color w:val="000000"/>
          <w:rFonts w:ascii="NimbusSanL" w:hAnsi="NimbusSanL" w:cs="NimbusSanL" w:hint="eastAsia"/>
        </w:rPr>
        <w:t xml:space="preserve"> </w:t>
      </w:r>
    </w:p>
    <w:p w14:paraId="30C0D40B"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7093834F"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b/>
          <w:bCs/>
          <w:color w:val="000000"/>
          <w:rFonts w:ascii="NimbusSanL" w:hAnsi="NimbusSanL" w:cs="NimbusSanL" w:hint="eastAsia"/>
        </w:rPr>
        <w:t xml:space="preserve">HOMAG Kantentechnik GmbH</w:t>
      </w:r>
      <w:r>
        <w:rPr>
          <w:b/>
          <w:bCs/>
          <w:color w:val="000000"/>
          <w:rFonts w:ascii="NimbusSanL" w:hAnsi="NimbusSanL" w:cs="NimbusSanL" w:hint="eastAsia"/>
        </w:rPr>
        <w:t xml:space="preserve"> </w:t>
      </w:r>
    </w:p>
    <w:p w14:paraId="66215B51"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Weststraße 2</w:t>
      </w:r>
    </w:p>
    <w:p w14:paraId="28B928BD"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32657 Lemgo</w:t>
      </w:r>
    </w:p>
    <w:p w14:paraId="625CAD3B"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Germany</w:t>
      </w:r>
    </w:p>
    <w:p w14:paraId="186E90B8"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www.homag.com</w:t>
      </w:r>
    </w:p>
    <w:p w14:paraId="64B2A5FA"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34965E6F"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07B19069" w14:textId="77777777" w:rsidR="005F3DBD" w:rsidRPr="008670A8"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Ulf Horstmann</w:t>
      </w:r>
    </w:p>
    <w:p w14:paraId="41FDB595"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1"/>
          <w:rFonts w:hint="eastAsia"/>
        </w:rPr>
        <w:t xml:space="preserve">製品マーケティング</w:t>
      </w:r>
    </w:p>
    <w:p w14:paraId="3D2BD9C4"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Tel. +49 5261 974 57208</w:t>
      </w:r>
    </w:p>
    <w:p w14:paraId="564DF65D"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ulf.horstmann@homag.com</w:t>
      </w:r>
    </w:p>
    <w:sectPr w:rsidR="005F3DBD" w:rsidRPr="008670A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571EF" w14:textId="77777777" w:rsidR="00BD3D69" w:rsidRDefault="00BD3D69">
      <w:r>
        <w:separator/>
      </w:r>
    </w:p>
  </w:endnote>
  <w:endnote w:type="continuationSeparator" w:id="0">
    <w:p w14:paraId="04FA0176" w14:textId="77777777" w:rsidR="00BD3D69" w:rsidRDefault="00BD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14"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592AE" w14:textId="77777777" w:rsidR="00BD3D69" w:rsidRDefault="00BD3D69">
      <w:r>
        <w:separator/>
      </w:r>
    </w:p>
  </w:footnote>
  <w:footnote w:type="continuationSeparator" w:id="0">
    <w:p w14:paraId="515C4126" w14:textId="77777777" w:rsidR="00BD3D69" w:rsidRDefault="00BD3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0D" w14:textId="5384E74F" w:rsidR="0054012D" w:rsidRDefault="0054012D" w:rsidP="001C1F3B">
    <w:pPr>
      <w:pStyle w:val="Kopfzeile"/>
      <w:widowControl/>
      <w:tabs>
        <w:tab w:val="clear" w:pos="1418"/>
        <w:tab w:val="clear" w:pos="1560"/>
        <w:tab w:val="clear" w:pos="9072"/>
        <w:tab w:val="right" w:pos="9639"/>
      </w:tabs>
      <w:spacing w:after="1080"/>
      <w:ind w:right="-2268"/>
      <w:rPr>
        <w:rFonts w:hint="eastAsia"/>
      </w:rPr>
    </w:pPr>
    <w:r>
      <w:rPr>
        <w:sz w:val="32"/>
        <w:rFonts w:hint="eastAsia"/>
      </w:rPr>
      <w:t xml:space="preserve">プレスプレビュー「HOMAG Treff 2018」</w:t>
    </w:r>
    <w:r>
      <w:rPr>
        <w:b/>
        <w:sz w:val="28"/>
        <w:rFonts w:hint="eastAsia"/>
      </w:rPr>
      <w:tab/>
    </w:r>
    <w:r>
      <w:rPr>
        <w:rFonts w:hint="eastAsia"/>
      </w:rPr>
      <w:drawing>
        <wp:inline distT="0" distB="0" distL="0" distR="0" wp14:anchorId="3E368415" wp14:editId="3E368416">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3E368412" w14:textId="77777777" w:rsidTr="00C74CDC">
      <w:tc>
        <w:tcPr>
          <w:tcW w:w="3402" w:type="dxa"/>
        </w:tcPr>
        <w:p w14:paraId="497EC782" w14:textId="77777777" w:rsidR="00C74CDC" w:rsidRDefault="00C74CDC" w:rsidP="00CA4276">
          <w:pPr>
            <w:pStyle w:val="Kopfzeile"/>
            <w:widowControl/>
            <w:tabs>
              <w:tab w:val="clear" w:pos="1418"/>
              <w:tab w:val="clear" w:pos="1560"/>
            </w:tabs>
            <w:spacing w:after="0" w:line="240" w:lineRule="auto"/>
            <w:rPr>
              <w:sz w:val="18"/>
            </w:rPr>
          </w:pPr>
        </w:p>
        <w:p w14:paraId="3E36840F" w14:textId="77777777" w:rsidR="00CA4276" w:rsidRDefault="00CA4276" w:rsidP="00CA4276">
          <w:pPr>
            <w:pStyle w:val="Kopfzeile"/>
            <w:widowControl/>
            <w:tabs>
              <w:tab w:val="clear" w:pos="1418"/>
              <w:tab w:val="clear" w:pos="1560"/>
            </w:tabs>
            <w:spacing w:after="0" w:line="240" w:lineRule="auto"/>
            <w:rPr>
              <w:sz w:val="18"/>
            </w:rPr>
          </w:pPr>
        </w:p>
      </w:tc>
      <w:tc>
        <w:tcPr>
          <w:tcW w:w="2268" w:type="dxa"/>
        </w:tcPr>
        <w:p w14:paraId="3E368410" w14:textId="77777777" w:rsidR="00C74CDC" w:rsidRDefault="00C64040" w:rsidP="00913173">
          <w:pPr>
            <w:pStyle w:val="Kopfzeile"/>
            <w:widowControl/>
            <w:tabs>
              <w:tab w:val="clear" w:pos="1418"/>
              <w:tab w:val="clear" w:pos="1560"/>
            </w:tabs>
            <w:spacing w:after="0"/>
            <w:rPr>
              <w:sz w:val="18"/>
              <w:rFonts w:hint="eastAsia"/>
            </w:rPr>
          </w:pPr>
          <w:r>
            <w:rPr>
              <w:rFonts w:hint="eastAsia"/>
            </w:rPr>
            <w:t xml:space="preserve">ページ</w:t>
          </w:r>
          <w:r>
            <w:rPr>
              <w:sz w:val="18"/>
              <w:rFonts w:hint="eastAsia"/>
            </w:rPr>
            <w:t xml:space="preserve">: </w:t>
          </w:r>
          <w:r w:rsidR="00C74CDC">
            <w:rPr>
              <w:sz w:val="18"/>
              <w:rFonts w:hint="eastAsia"/>
            </w:rPr>
            <w:fldChar w:fldCharType="begin"/>
          </w:r>
          <w:r w:rsidR="00C74CDC">
            <w:rPr>
              <w:sz w:val="18"/>
              <w:rFonts w:hint="eastAsia"/>
            </w:rPr>
            <w:instrText xml:space="preserve">PAGE </w:instrText>
          </w:r>
          <w:r w:rsidR="00C74CDC">
            <w:rPr>
              <w:sz w:val="18"/>
              <w:rFonts w:hint="eastAsia"/>
            </w:rPr>
            <w:fldChar w:fldCharType="separate"/>
          </w:r>
          <w:r w:rsidR="00957FB2">
            <w:rPr>
              <w:sz w:val="18"/>
              <w:rFonts w:hint="eastAsia"/>
            </w:rPr>
            <w:t>2</w:t>
          </w:r>
          <w:r w:rsidR="00C74CDC">
            <w:rPr>
              <w:sz w:val="18"/>
              <w:rFonts w:hint="eastAsia"/>
            </w:rPr>
            <w:fldChar w:fldCharType="end"/>
          </w:r>
          <w:r>
            <w:rPr>
              <w:sz w:val="18"/>
              <w:rFonts w:hint="eastAsia"/>
            </w:rPr>
            <w:t xml:space="preserve"> / </w:t>
          </w:r>
          <w:r w:rsidR="00C74CDC">
            <w:rPr>
              <w:sz w:val="18"/>
              <w:rFonts w:hint="eastAsia"/>
            </w:rPr>
            <w:fldChar w:fldCharType="begin" w:dirty="true"/>
          </w:r>
          <w:r w:rsidR="00C74CDC">
            <w:rPr>
              <w:sz w:val="18"/>
              <w:rFonts w:hint="eastAsia"/>
            </w:rPr>
            <w:instrText xml:space="preserve">NUMPAGES </w:instrText>
          </w:r>
          <w:r w:rsidR="00C74CDC">
            <w:rPr>
              <w:sz w:val="18"/>
              <w:rFonts w:hint="eastAsia"/>
            </w:rPr>
            <w:fldChar w:fldCharType="separate"/>
          </w:r>
          <w:r w:rsidR="00957FB2">
            <w:rPr>
              <w:sz w:val="18"/>
              <w:rFonts w:hint="eastAsia"/>
            </w:rPr>
            <w:t>3</w:t>
          </w:r>
          <w:r w:rsidR="00C74CDC">
            <w:rPr>
              <w:sz w:val="18"/>
              <w:rFonts w:hint="eastAsia"/>
            </w:rPr>
            <w:fldChar w:fldCharType="end"/>
          </w:r>
        </w:p>
      </w:tc>
      <w:tc>
        <w:tcPr>
          <w:tcW w:w="3969" w:type="dxa"/>
        </w:tcPr>
        <w:p w14:paraId="3E368411" w14:textId="4FDF6DA9" w:rsidR="00C74CDC" w:rsidRDefault="00C74CDC" w:rsidP="00CA4276">
          <w:pPr>
            <w:pStyle w:val="Kopfzeile"/>
            <w:widowControl/>
            <w:tabs>
              <w:tab w:val="clear" w:pos="1418"/>
              <w:tab w:val="clear" w:pos="1560"/>
              <w:tab w:val="clear" w:pos="9072"/>
              <w:tab w:val="right" w:pos="1763"/>
            </w:tabs>
            <w:spacing w:after="0"/>
            <w:ind w:right="284"/>
            <w:rPr>
              <w:sz w:val="18"/>
              <w:rFonts w:hint="eastAsia"/>
            </w:rPr>
          </w:pPr>
          <w:r>
            <w:rPr>
              <w:sz w:val="18"/>
              <w:rFonts w:hint="eastAsia"/>
            </w:rPr>
            <w:tab/>
          </w:r>
          <w:r>
            <w:rPr>
              <w:sz w:val="18"/>
              <w:rFonts w:hint="eastAsia"/>
            </w:rPr>
            <w:t xml:space="preserve">2018 年 8 月</w:t>
          </w:r>
        </w:p>
      </w:tc>
    </w:tr>
  </w:tbl>
  <w:p w14:paraId="3E368413"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8054F75"/>
    <w:multiLevelType w:val="hybridMultilevel"/>
    <w:tmpl w:val="A4D86A56"/>
    <w:lvl w:ilvl="0" w:tplc="0407000F">
      <w:start w:val="1"/>
      <w:numFmt w:val="decimal"/>
      <w:lvlText w:val="%1."/>
      <w:lvlJc w:val="left"/>
      <w:pPr>
        <w:ind w:left="720" w:hanging="360"/>
      </w:pPr>
      <w:rPr>
        <w:rFonts w:hint="default"/>
        <w:b w:val="0"/>
        <w:u w:val="no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470D70FE"/>
    <w:multiLevelType w:val="hybridMultilevel"/>
    <w:tmpl w:val="FC88B2F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6"/>
  </w:num>
  <w:num w:numId="6">
    <w:abstractNumId w:val="15"/>
  </w:num>
  <w:num w:numId="7">
    <w:abstractNumId w:val="16"/>
  </w:num>
  <w:num w:numId="8">
    <w:abstractNumId w:val="20"/>
  </w:num>
  <w:num w:numId="9">
    <w:abstractNumId w:val="22"/>
  </w:num>
  <w:num w:numId="10">
    <w:abstractNumId w:val="27"/>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28"/>
  </w:num>
  <w:num w:numId="18">
    <w:abstractNumId w:val="14"/>
  </w:num>
  <w:num w:numId="19">
    <w:abstractNumId w:val="29"/>
  </w:num>
  <w:num w:numId="20">
    <w:abstractNumId w:val="24"/>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3"/>
  </w:num>
  <w:num w:numId="28">
    <w:abstractNumId w:val="2"/>
  </w:num>
  <w:num w:numId="29">
    <w:abstractNumId w:val="19"/>
  </w:num>
  <w:num w:numId="30">
    <w:abstractNumId w:val="1"/>
  </w:num>
  <w:num w:numId="31">
    <w:abstractNumId w:val="35"/>
  </w:num>
  <w:num w:numId="32">
    <w:abstractNumId w:val="30"/>
  </w:num>
  <w:num w:numId="33">
    <w:abstractNumId w:val="31"/>
  </w:num>
  <w:num w:numId="34">
    <w:abstractNumId w:val="10"/>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471D4"/>
    <w:rsid w:val="000626D3"/>
    <w:rsid w:val="00064DE4"/>
    <w:rsid w:val="00070D5B"/>
    <w:rsid w:val="000777ED"/>
    <w:rsid w:val="00080779"/>
    <w:rsid w:val="00087568"/>
    <w:rsid w:val="000B40DB"/>
    <w:rsid w:val="000D1074"/>
    <w:rsid w:val="000D5284"/>
    <w:rsid w:val="000E13E2"/>
    <w:rsid w:val="000E66EC"/>
    <w:rsid w:val="001009AB"/>
    <w:rsid w:val="00106960"/>
    <w:rsid w:val="001133A3"/>
    <w:rsid w:val="001234BA"/>
    <w:rsid w:val="001346DA"/>
    <w:rsid w:val="0013691D"/>
    <w:rsid w:val="001379FB"/>
    <w:rsid w:val="00144DE4"/>
    <w:rsid w:val="001544C1"/>
    <w:rsid w:val="00171A90"/>
    <w:rsid w:val="00181328"/>
    <w:rsid w:val="00191B7B"/>
    <w:rsid w:val="00197C90"/>
    <w:rsid w:val="001A6C44"/>
    <w:rsid w:val="001A7968"/>
    <w:rsid w:val="001C1F3B"/>
    <w:rsid w:val="001C3917"/>
    <w:rsid w:val="001D7A81"/>
    <w:rsid w:val="001F5F23"/>
    <w:rsid w:val="001F6512"/>
    <w:rsid w:val="001F6AB9"/>
    <w:rsid w:val="00213A46"/>
    <w:rsid w:val="0022697A"/>
    <w:rsid w:val="002560A1"/>
    <w:rsid w:val="00257269"/>
    <w:rsid w:val="00262EF5"/>
    <w:rsid w:val="00271035"/>
    <w:rsid w:val="00272217"/>
    <w:rsid w:val="00274D1F"/>
    <w:rsid w:val="00276C42"/>
    <w:rsid w:val="002A19F6"/>
    <w:rsid w:val="002A557A"/>
    <w:rsid w:val="003014A3"/>
    <w:rsid w:val="00301904"/>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605F6"/>
    <w:rsid w:val="0046535F"/>
    <w:rsid w:val="0047204A"/>
    <w:rsid w:val="00476502"/>
    <w:rsid w:val="00481597"/>
    <w:rsid w:val="004817FB"/>
    <w:rsid w:val="004A2787"/>
    <w:rsid w:val="004B1435"/>
    <w:rsid w:val="00513A4B"/>
    <w:rsid w:val="00520897"/>
    <w:rsid w:val="00537C82"/>
    <w:rsid w:val="0054012D"/>
    <w:rsid w:val="005475DE"/>
    <w:rsid w:val="00547750"/>
    <w:rsid w:val="00570C27"/>
    <w:rsid w:val="0058077E"/>
    <w:rsid w:val="0058611D"/>
    <w:rsid w:val="0058634F"/>
    <w:rsid w:val="005A3F52"/>
    <w:rsid w:val="005A5380"/>
    <w:rsid w:val="005B6CF2"/>
    <w:rsid w:val="005C623C"/>
    <w:rsid w:val="005D2F26"/>
    <w:rsid w:val="005D59E6"/>
    <w:rsid w:val="005F022F"/>
    <w:rsid w:val="005F3DBD"/>
    <w:rsid w:val="005F3F60"/>
    <w:rsid w:val="006143F9"/>
    <w:rsid w:val="00623204"/>
    <w:rsid w:val="0066716B"/>
    <w:rsid w:val="00680042"/>
    <w:rsid w:val="00697D14"/>
    <w:rsid w:val="006C15C6"/>
    <w:rsid w:val="006C2BA0"/>
    <w:rsid w:val="006D5941"/>
    <w:rsid w:val="006E1BAA"/>
    <w:rsid w:val="006F1125"/>
    <w:rsid w:val="0070039B"/>
    <w:rsid w:val="007143F9"/>
    <w:rsid w:val="00735FDB"/>
    <w:rsid w:val="00737128"/>
    <w:rsid w:val="00742CE2"/>
    <w:rsid w:val="0076147E"/>
    <w:rsid w:val="00764F78"/>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62FA4"/>
    <w:rsid w:val="00891766"/>
    <w:rsid w:val="008B07C0"/>
    <w:rsid w:val="008C0447"/>
    <w:rsid w:val="008E7DE4"/>
    <w:rsid w:val="009051A1"/>
    <w:rsid w:val="009178FE"/>
    <w:rsid w:val="00920D02"/>
    <w:rsid w:val="0093011B"/>
    <w:rsid w:val="009368F5"/>
    <w:rsid w:val="00944CAE"/>
    <w:rsid w:val="009479AC"/>
    <w:rsid w:val="00957FB2"/>
    <w:rsid w:val="0097733B"/>
    <w:rsid w:val="009A1B07"/>
    <w:rsid w:val="009A4FA6"/>
    <w:rsid w:val="009C58AA"/>
    <w:rsid w:val="009C73C6"/>
    <w:rsid w:val="009E15B5"/>
    <w:rsid w:val="009E1B64"/>
    <w:rsid w:val="009F1FE2"/>
    <w:rsid w:val="009F50FD"/>
    <w:rsid w:val="00A04D46"/>
    <w:rsid w:val="00A071AD"/>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96801"/>
    <w:rsid w:val="00BA3C3F"/>
    <w:rsid w:val="00BC229D"/>
    <w:rsid w:val="00BD3D69"/>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A4276"/>
    <w:rsid w:val="00CB1588"/>
    <w:rsid w:val="00CD1E96"/>
    <w:rsid w:val="00CF622D"/>
    <w:rsid w:val="00D0150A"/>
    <w:rsid w:val="00D043C0"/>
    <w:rsid w:val="00D05F12"/>
    <w:rsid w:val="00D071E6"/>
    <w:rsid w:val="00D113BA"/>
    <w:rsid w:val="00D25B51"/>
    <w:rsid w:val="00D322E6"/>
    <w:rsid w:val="00D40674"/>
    <w:rsid w:val="00D50588"/>
    <w:rsid w:val="00D65A21"/>
    <w:rsid w:val="00D70851"/>
    <w:rsid w:val="00D72330"/>
    <w:rsid w:val="00D743CB"/>
    <w:rsid w:val="00D915A1"/>
    <w:rsid w:val="00DA3508"/>
    <w:rsid w:val="00DA6745"/>
    <w:rsid w:val="00DA7ADD"/>
    <w:rsid w:val="00DD063D"/>
    <w:rsid w:val="00DE114A"/>
    <w:rsid w:val="00DF2A9D"/>
    <w:rsid w:val="00E06B30"/>
    <w:rsid w:val="00E12832"/>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10E6"/>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36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eastAsia="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eastAsia="Arial"/>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eastAsia="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eastAsia="Arial"/>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eastAsia="Arial"/>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eastAsia="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eastAsia="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eastAsia="Arial"/>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Ulf Horstmann</cp:lastModifiedBy>
  <cp:revision>4</cp:revision>
  <cp:lastPrinted>2018-04-19T05:24:00Z</cp:lastPrinted>
  <dcterms:created xsi:type="dcterms:W3CDTF">2018-08-13T13:07:00Z</dcterms:created>
  <dcterms:modified xsi:type="dcterms:W3CDTF">2018-08-15T12:23:00Z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